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415F6EC">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温州市龙湾区天河街道泰河村蔬菜种植基地及管理房五年</w:t>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2025年3月26日</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33C606D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温州市龙湾区天河街道泰河村蔬菜种植基地及管理房五年租赁权竞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2025年4月2日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2025年4月3日9</w:t>
      </w:r>
      <w:r>
        <w:rPr>
          <w:rFonts w:hint="eastAsia" w:ascii="宋体" w:hAnsi="宋体"/>
          <w:color w:val="auto"/>
          <w:sz w:val="24"/>
          <w:szCs w:val="24"/>
          <w:u w:val="none"/>
        </w:rPr>
        <w:t>时（延时的除外），在京东资产交易平台（网址https://auction.jd.com/zichan.html/），对</w:t>
      </w:r>
      <w:r>
        <w:rPr>
          <w:rFonts w:hint="eastAsia" w:ascii="宋体" w:hAnsi="宋体"/>
          <w:color w:val="auto"/>
          <w:sz w:val="24"/>
          <w:szCs w:val="24"/>
          <w:u w:val="none"/>
          <w:lang w:eastAsia="zh-CN"/>
        </w:rPr>
        <w:t>温州市龙湾区天河街道泰河村蔬菜种植基地及管理房五年租赁权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716"/>
        <w:gridCol w:w="1965"/>
        <w:gridCol w:w="1560"/>
        <w:gridCol w:w="1370"/>
      </w:tblGrid>
      <w:tr w14:paraId="05BB0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1E9E19D4">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w:t>
            </w:r>
            <w:r>
              <w:rPr>
                <w:rFonts w:hint="eastAsia" w:asciiTheme="minorEastAsia" w:hAnsiTheme="minorEastAsia" w:eastAsiaTheme="minorEastAsia" w:cstheme="minorEastAsia"/>
                <w:b/>
                <w:bCs/>
                <w:sz w:val="24"/>
                <w:szCs w:val="24"/>
              </w:rPr>
              <w:t>编号</w:t>
            </w:r>
          </w:p>
        </w:tc>
        <w:tc>
          <w:tcPr>
            <w:tcW w:w="3716" w:type="dxa"/>
            <w:tcBorders>
              <w:top w:val="single" w:color="000000" w:sz="4" w:space="0"/>
              <w:left w:val="single" w:color="000000" w:sz="4" w:space="0"/>
              <w:bottom w:val="single" w:color="000000" w:sz="4" w:space="0"/>
              <w:right w:val="single" w:color="000000" w:sz="4" w:space="0"/>
            </w:tcBorders>
            <w:noWrap w:val="0"/>
            <w:vAlign w:val="center"/>
          </w:tcPr>
          <w:p w14:paraId="7861E145">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标的概况</w:t>
            </w:r>
          </w:p>
        </w:tc>
        <w:tc>
          <w:tcPr>
            <w:tcW w:w="3525" w:type="dxa"/>
            <w:gridSpan w:val="2"/>
            <w:tcBorders>
              <w:top w:val="single" w:color="000000" w:sz="4" w:space="0"/>
              <w:left w:val="single" w:color="000000" w:sz="4" w:space="0"/>
              <w:bottom w:val="single" w:color="000000" w:sz="4" w:space="0"/>
              <w:right w:val="single" w:color="auto" w:sz="4" w:space="0"/>
            </w:tcBorders>
            <w:noWrap w:val="0"/>
            <w:vAlign w:val="center"/>
          </w:tcPr>
          <w:p w14:paraId="26B07E4C">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面积</w:t>
            </w:r>
          </w:p>
        </w:tc>
        <w:tc>
          <w:tcPr>
            <w:tcW w:w="1370" w:type="dxa"/>
            <w:tcBorders>
              <w:top w:val="single" w:color="000000" w:sz="4" w:space="0"/>
              <w:left w:val="nil"/>
              <w:bottom w:val="single" w:color="000000" w:sz="4" w:space="0"/>
              <w:right w:val="single" w:color="auto" w:sz="4" w:space="0"/>
            </w:tcBorders>
            <w:noWrap w:val="0"/>
            <w:vAlign w:val="center"/>
          </w:tcPr>
          <w:p w14:paraId="0D82D72C">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首年租金</w:t>
            </w:r>
          </w:p>
          <w:p w14:paraId="066C5F9B">
            <w:pPr>
              <w:widowControl/>
              <w:jc w:val="center"/>
              <w:rPr>
                <w:rFonts w:hint="eastAsia" w:ascii="宋体" w:hAnsi="宋体" w:eastAsia="宋体" w:cs="宋体"/>
                <w:b/>
                <w:bCs/>
                <w:color w:val="000000"/>
                <w:kern w:val="2"/>
                <w:sz w:val="24"/>
                <w:szCs w:val="24"/>
                <w:highlight w:val="none"/>
                <w:lang w:val="en-US" w:eastAsia="zh-CN" w:bidi="ar"/>
              </w:rPr>
            </w:pPr>
            <w:r>
              <w:rPr>
                <w:rFonts w:hint="eastAsia" w:asciiTheme="minorEastAsia" w:hAnsiTheme="minorEastAsia" w:eastAsiaTheme="minorEastAsia" w:cstheme="minorEastAsia"/>
                <w:b/>
                <w:bCs/>
                <w:sz w:val="24"/>
                <w:szCs w:val="24"/>
                <w:lang w:val="en-US" w:eastAsia="zh-CN"/>
              </w:rPr>
              <w:t>起始价</w:t>
            </w:r>
          </w:p>
        </w:tc>
      </w:tr>
      <w:tr w14:paraId="513BA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restart"/>
            <w:tcBorders>
              <w:top w:val="single" w:color="000000" w:sz="4" w:space="0"/>
              <w:left w:val="single" w:color="auto" w:sz="4" w:space="0"/>
              <w:right w:val="single" w:color="000000" w:sz="4" w:space="0"/>
            </w:tcBorders>
            <w:noWrap w:val="0"/>
            <w:vAlign w:val="center"/>
          </w:tcPr>
          <w:p w14:paraId="24437FF1">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kern w:val="2"/>
                <w:sz w:val="24"/>
                <w:szCs w:val="24"/>
                <w:lang w:val="en-US" w:eastAsia="zh-CN" w:bidi="ar-SA"/>
              </w:rPr>
              <w:t>1</w:t>
            </w:r>
          </w:p>
        </w:tc>
        <w:tc>
          <w:tcPr>
            <w:tcW w:w="3716" w:type="dxa"/>
            <w:vMerge w:val="restart"/>
            <w:tcBorders>
              <w:top w:val="single" w:color="000000" w:sz="4" w:space="0"/>
              <w:left w:val="single" w:color="000000" w:sz="4" w:space="0"/>
              <w:right w:val="single" w:color="000000" w:sz="4" w:space="0"/>
            </w:tcBorders>
            <w:noWrap w:val="0"/>
            <w:vAlign w:val="center"/>
          </w:tcPr>
          <w:p w14:paraId="6B746ADD">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eastAsiaTheme="minorEastAsia" w:cstheme="minorEastAsia"/>
                <w:kern w:val="2"/>
                <w:sz w:val="24"/>
                <w:szCs w:val="24"/>
                <w:lang w:val="en-US" w:eastAsia="zh-CN" w:bidi="ar-SA"/>
              </w:rPr>
              <w:t>温州市龙湾区天河街道泰河村蔬菜种植基地及管理房五年租赁权</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0A2CED9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ajorEastAsia" w:hAnsiTheme="majorEastAsia" w:eastAsiaTheme="majorEastAsia" w:cstheme="majorEastAsia"/>
                <w:b w:val="0"/>
                <w:bCs/>
                <w:kern w:val="2"/>
                <w:sz w:val="24"/>
                <w:szCs w:val="24"/>
                <w:highlight w:val="none"/>
                <w:lang w:val="en-US"/>
              </w:rPr>
            </w:pPr>
            <w:r>
              <w:rPr>
                <w:rFonts w:hint="eastAsia" w:asciiTheme="minorEastAsia" w:hAnsiTheme="minorEastAsia" w:eastAsiaTheme="minorEastAsia" w:cstheme="minorEastAsia"/>
                <w:sz w:val="24"/>
                <w:szCs w:val="24"/>
                <w:vertAlign w:val="baseline"/>
                <w:lang w:val="en-US" w:eastAsia="zh-CN"/>
              </w:rPr>
              <w:t>大棚约60.38亩</w:t>
            </w:r>
          </w:p>
        </w:tc>
        <w:tc>
          <w:tcPr>
            <w:tcW w:w="1560" w:type="dxa"/>
            <w:vMerge w:val="restart"/>
            <w:tcBorders>
              <w:top w:val="single" w:color="000000" w:sz="4" w:space="0"/>
              <w:left w:val="single" w:color="000000" w:sz="4" w:space="0"/>
              <w:right w:val="single" w:color="auto" w:sz="4" w:space="0"/>
            </w:tcBorders>
            <w:noWrap w:val="0"/>
            <w:vAlign w:val="center"/>
          </w:tcPr>
          <w:p w14:paraId="4501B9E8">
            <w:pPr>
              <w:spacing w:line="320" w:lineRule="exact"/>
              <w:jc w:val="center"/>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vertAlign w:val="baseline"/>
                <w:lang w:val="en-US" w:eastAsia="zh-CN"/>
              </w:rPr>
              <w:t>合计约50643.33㎡</w:t>
            </w:r>
          </w:p>
        </w:tc>
        <w:tc>
          <w:tcPr>
            <w:tcW w:w="1370" w:type="dxa"/>
            <w:vMerge w:val="restart"/>
            <w:tcBorders>
              <w:top w:val="single" w:color="000000" w:sz="4" w:space="0"/>
              <w:left w:val="nil"/>
              <w:right w:val="single" w:color="auto" w:sz="4" w:space="0"/>
            </w:tcBorders>
            <w:noWrap w:val="0"/>
            <w:vAlign w:val="center"/>
          </w:tcPr>
          <w:p w14:paraId="50C40C15">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170084元</w:t>
            </w:r>
          </w:p>
        </w:tc>
      </w:tr>
      <w:tr w14:paraId="03F45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continue"/>
            <w:tcBorders>
              <w:left w:val="single" w:color="auto" w:sz="4" w:space="0"/>
              <w:right w:val="single" w:color="000000" w:sz="4" w:space="0"/>
            </w:tcBorders>
            <w:noWrap w:val="0"/>
            <w:vAlign w:val="center"/>
          </w:tcPr>
          <w:p w14:paraId="1C5E0781">
            <w:pPr>
              <w:spacing w:line="320" w:lineRule="exact"/>
              <w:jc w:val="center"/>
              <w:rPr>
                <w:rFonts w:hint="eastAsia" w:asciiTheme="majorEastAsia" w:hAnsiTheme="majorEastAsia" w:eastAsiaTheme="majorEastAsia" w:cstheme="majorEastAsia"/>
                <w:bCs/>
                <w:sz w:val="24"/>
                <w:szCs w:val="24"/>
                <w:highlight w:val="none"/>
                <w:lang w:val="en-US" w:eastAsia="zh-CN"/>
              </w:rPr>
            </w:pPr>
          </w:p>
        </w:tc>
        <w:tc>
          <w:tcPr>
            <w:tcW w:w="3716" w:type="dxa"/>
            <w:vMerge w:val="continue"/>
            <w:tcBorders>
              <w:left w:val="single" w:color="000000" w:sz="4" w:space="0"/>
              <w:right w:val="single" w:color="000000" w:sz="4" w:space="0"/>
            </w:tcBorders>
            <w:noWrap w:val="0"/>
            <w:vAlign w:val="center"/>
          </w:tcPr>
          <w:p w14:paraId="012D974D">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1CBE621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lang w:val="en-US" w:eastAsia="zh-CN"/>
              </w:rPr>
              <w:t>露天约15亩</w:t>
            </w:r>
          </w:p>
        </w:tc>
        <w:tc>
          <w:tcPr>
            <w:tcW w:w="1560" w:type="dxa"/>
            <w:vMerge w:val="continue"/>
            <w:tcBorders>
              <w:left w:val="single" w:color="000000" w:sz="4" w:space="0"/>
              <w:right w:val="single" w:color="auto" w:sz="4" w:space="0"/>
            </w:tcBorders>
            <w:noWrap w:val="0"/>
            <w:vAlign w:val="center"/>
          </w:tcPr>
          <w:p w14:paraId="1E82F4BD">
            <w:pPr>
              <w:spacing w:line="320" w:lineRule="exact"/>
              <w:jc w:val="center"/>
              <w:rPr>
                <w:rFonts w:hint="eastAsia" w:ascii="宋体" w:hAnsi="宋体" w:cs="宋体"/>
                <w:kern w:val="2"/>
                <w:sz w:val="24"/>
                <w:szCs w:val="24"/>
                <w:highlight w:val="none"/>
                <w:lang w:val="en-US" w:eastAsia="zh-CN" w:bidi="ar-SA"/>
              </w:rPr>
            </w:pPr>
          </w:p>
        </w:tc>
        <w:tc>
          <w:tcPr>
            <w:tcW w:w="1370" w:type="dxa"/>
            <w:vMerge w:val="continue"/>
            <w:tcBorders>
              <w:left w:val="nil"/>
              <w:right w:val="single" w:color="auto" w:sz="4" w:space="0"/>
            </w:tcBorders>
            <w:noWrap w:val="0"/>
            <w:vAlign w:val="center"/>
          </w:tcPr>
          <w:p w14:paraId="60A6D2EC">
            <w:pPr>
              <w:spacing w:line="320" w:lineRule="exact"/>
              <w:jc w:val="center"/>
              <w:rPr>
                <w:rFonts w:hint="eastAsia" w:asciiTheme="majorEastAsia" w:hAnsiTheme="majorEastAsia" w:eastAsiaTheme="majorEastAsia" w:cstheme="majorEastAsia"/>
                <w:bCs/>
                <w:sz w:val="24"/>
                <w:szCs w:val="24"/>
                <w:highlight w:val="none"/>
                <w:lang w:val="en-US" w:eastAsia="zh-CN"/>
              </w:rPr>
            </w:pPr>
          </w:p>
        </w:tc>
      </w:tr>
      <w:tr w14:paraId="6C264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continue"/>
            <w:tcBorders>
              <w:left w:val="single" w:color="auto" w:sz="4" w:space="0"/>
              <w:bottom w:val="single" w:color="000000" w:sz="4" w:space="0"/>
              <w:right w:val="single" w:color="000000" w:sz="4" w:space="0"/>
            </w:tcBorders>
            <w:noWrap w:val="0"/>
            <w:vAlign w:val="center"/>
          </w:tcPr>
          <w:p w14:paraId="0091E36A">
            <w:pPr>
              <w:spacing w:line="320" w:lineRule="exact"/>
              <w:jc w:val="center"/>
              <w:rPr>
                <w:rFonts w:hint="eastAsia" w:asciiTheme="majorEastAsia" w:hAnsiTheme="majorEastAsia" w:eastAsiaTheme="majorEastAsia" w:cstheme="majorEastAsia"/>
                <w:bCs/>
                <w:sz w:val="24"/>
                <w:szCs w:val="24"/>
                <w:highlight w:val="none"/>
                <w:lang w:val="en-US" w:eastAsia="zh-CN"/>
              </w:rPr>
            </w:pPr>
          </w:p>
        </w:tc>
        <w:tc>
          <w:tcPr>
            <w:tcW w:w="3716" w:type="dxa"/>
            <w:vMerge w:val="continue"/>
            <w:tcBorders>
              <w:left w:val="single" w:color="000000" w:sz="4" w:space="0"/>
              <w:bottom w:val="single" w:color="000000" w:sz="4" w:space="0"/>
              <w:right w:val="single" w:color="000000" w:sz="4" w:space="0"/>
            </w:tcBorders>
            <w:noWrap w:val="0"/>
            <w:vAlign w:val="center"/>
          </w:tcPr>
          <w:p w14:paraId="5FD256A5">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74A85F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lang w:val="en-US" w:eastAsia="zh-CN"/>
              </w:rPr>
              <w:t>管理房约390㎡</w:t>
            </w:r>
          </w:p>
        </w:tc>
        <w:tc>
          <w:tcPr>
            <w:tcW w:w="1560" w:type="dxa"/>
            <w:vMerge w:val="continue"/>
            <w:tcBorders>
              <w:left w:val="single" w:color="000000" w:sz="4" w:space="0"/>
              <w:bottom w:val="single" w:color="000000" w:sz="4" w:space="0"/>
              <w:right w:val="single" w:color="auto" w:sz="4" w:space="0"/>
            </w:tcBorders>
            <w:noWrap w:val="0"/>
            <w:vAlign w:val="center"/>
          </w:tcPr>
          <w:p w14:paraId="6473BBD8">
            <w:pPr>
              <w:spacing w:line="320" w:lineRule="exact"/>
              <w:jc w:val="center"/>
              <w:rPr>
                <w:rFonts w:hint="eastAsia" w:ascii="宋体" w:hAnsi="宋体" w:cs="宋体"/>
                <w:kern w:val="2"/>
                <w:sz w:val="24"/>
                <w:szCs w:val="24"/>
                <w:highlight w:val="none"/>
                <w:lang w:val="en-US" w:eastAsia="zh-CN" w:bidi="ar-SA"/>
              </w:rPr>
            </w:pPr>
          </w:p>
        </w:tc>
        <w:tc>
          <w:tcPr>
            <w:tcW w:w="1370" w:type="dxa"/>
            <w:vMerge w:val="continue"/>
            <w:tcBorders>
              <w:left w:val="nil"/>
              <w:bottom w:val="single" w:color="000000" w:sz="4" w:space="0"/>
              <w:right w:val="single" w:color="auto" w:sz="4" w:space="0"/>
            </w:tcBorders>
            <w:noWrap w:val="0"/>
            <w:vAlign w:val="center"/>
          </w:tcPr>
          <w:p w14:paraId="5C42A8F4">
            <w:pPr>
              <w:spacing w:line="320" w:lineRule="exact"/>
              <w:jc w:val="center"/>
              <w:rPr>
                <w:rFonts w:hint="eastAsia" w:asciiTheme="majorEastAsia" w:hAnsiTheme="majorEastAsia" w:eastAsiaTheme="majorEastAsia" w:cstheme="majorEastAsia"/>
                <w:bCs/>
                <w:sz w:val="24"/>
                <w:szCs w:val="24"/>
                <w:highlight w:val="none"/>
                <w:lang w:val="en-US" w:eastAsia="zh-CN"/>
              </w:rPr>
            </w:pPr>
          </w:p>
        </w:tc>
      </w:tr>
      <w:tr w14:paraId="716D3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6EF986AB">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租期5年，租金（不含税）一年一付，先付后用，第1-3年租金为竞价成交价，第4-5年租金在第3年租金的基础上递增2%。</w:t>
            </w:r>
          </w:p>
          <w:p w14:paraId="2ADE128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jc w:val="left"/>
              <w:textAlignment w:val="auto"/>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t>2、经营业态为农业种植。</w:t>
            </w:r>
          </w:p>
          <w:p w14:paraId="0246C5A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3、原承租人在同等条件下享有优先权。</w:t>
            </w:r>
          </w:p>
          <w:p w14:paraId="5A73CA09">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default"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4、租赁期满后，所种植的所有农作物全部归村集体所有。</w:t>
            </w:r>
          </w:p>
        </w:tc>
      </w:tr>
    </w:tbl>
    <w:p w14:paraId="7D4B6BB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7BDAE11">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报名条件及要求：有效存续且经营范围包含种植类的企业法人及农民专业合作社</w:t>
      </w:r>
      <w:r>
        <w:rPr>
          <w:rFonts w:hint="eastAsia" w:ascii="宋体" w:hAnsi="宋体" w:cs="Times New Roman"/>
          <w:color w:val="auto"/>
          <w:sz w:val="24"/>
          <w:szCs w:val="24"/>
          <w:highlight w:val="none"/>
          <w:u w:val="none"/>
          <w:lang w:val="en-US" w:eastAsia="zh-CN"/>
        </w:rPr>
        <w:t>。</w:t>
      </w:r>
    </w:p>
    <w:p w14:paraId="16639BF2">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 xml:space="preserve">有意者，单位凭有效营业执照副本、法定代表人身份证、公章、竞价保证金缴纳凭证及本公告交易条件中的相关材料前往龙湾区农村产权服务中心实名备案，再在上述京东资产交易平台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7497F12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若只有一家竞租人报名参与竞价的，可按首年租金起始价成交。</w:t>
      </w:r>
    </w:p>
    <w:p w14:paraId="171B1C9B">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513EA59">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w:t>
      </w:r>
      <w:r>
        <w:rPr>
          <w:rFonts w:hint="eastAsia" w:ascii="宋体" w:hAnsi="宋体" w:cs="Times New Roman"/>
          <w:color w:val="auto"/>
          <w:sz w:val="24"/>
          <w:szCs w:val="24"/>
          <w:u w:val="none"/>
          <w:lang w:val="en-US" w:eastAsia="zh-CN"/>
        </w:rPr>
        <w:t>：17万元，</w:t>
      </w:r>
      <w:r>
        <w:rPr>
          <w:rFonts w:hint="eastAsia" w:ascii="宋体" w:hAnsi="宋体" w:eastAsia="宋体" w:cs="Times New Roman"/>
          <w:color w:val="auto"/>
          <w:sz w:val="24"/>
          <w:szCs w:val="24"/>
          <w:u w:val="none"/>
          <w:lang w:val="en-US" w:eastAsia="zh-CN"/>
        </w:rPr>
        <w:t>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：泰河村</w:t>
      </w:r>
      <w:r>
        <w:rPr>
          <w:rFonts w:hint="eastAsia" w:ascii="宋体" w:hAnsi="宋体" w:eastAsia="宋体" w:cs="Times New Roman"/>
          <w:b/>
          <w:bCs/>
          <w:color w:val="auto"/>
          <w:sz w:val="24"/>
          <w:szCs w:val="24"/>
          <w:highlight w:val="none"/>
          <w:u w:val="none"/>
          <w:lang w:val="en-US" w:eastAsia="zh-CN"/>
        </w:rPr>
        <w:t>租赁项目。</w:t>
      </w:r>
    </w:p>
    <w:p w14:paraId="503D881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10万元</w:t>
      </w:r>
      <w:r>
        <w:rPr>
          <w:rFonts w:hint="eastAsia" w:ascii="宋体" w:hAnsi="宋体" w:eastAsia="宋体" w:cs="Times New Roman"/>
          <w:color w:val="auto"/>
          <w:sz w:val="24"/>
          <w:szCs w:val="24"/>
          <w:highlight w:val="none"/>
          <w:u w:val="none"/>
          <w:lang w:val="en-US" w:eastAsia="zh-CN"/>
        </w:rPr>
        <w:t>。</w:t>
      </w:r>
    </w:p>
    <w:p w14:paraId="5A12B537">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BC4FC42">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4月1</w:t>
      </w:r>
      <w:r>
        <w:rPr>
          <w:rFonts w:hint="eastAsia" w:ascii="宋体" w:hAnsi="宋体" w:eastAsia="宋体" w:cs="Times New Roman"/>
          <w:color w:val="auto"/>
          <w:sz w:val="24"/>
          <w:szCs w:val="24"/>
          <w:highlight w:val="none"/>
          <w:u w:val="none"/>
          <w:lang w:val="en-US" w:eastAsia="zh-CN"/>
        </w:rPr>
        <w:t>日</w:t>
      </w:r>
      <w:r>
        <w:rPr>
          <w:rFonts w:hint="eastAsia" w:ascii="宋体" w:hAnsi="宋体" w:eastAsia="宋体" w:cs="Times New Roman"/>
          <w:color w:val="auto"/>
          <w:sz w:val="24"/>
          <w:szCs w:val="24"/>
          <w:u w:val="none"/>
          <w:lang w:val="en-US" w:eastAsia="zh-CN"/>
        </w:rPr>
        <w:t>下午4时止（工作时间）</w:t>
      </w:r>
    </w:p>
    <w:p w14:paraId="2FB6173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C0E303A">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1097576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w:t>
      </w:r>
      <w:r>
        <w:rPr>
          <w:rFonts w:hint="eastAsia" w:ascii="宋体" w:hAnsi="宋体" w:cs="宋体"/>
          <w:b w:val="0"/>
          <w:bCs w:val="0"/>
          <w:color w:val="auto"/>
          <w:kern w:val="0"/>
          <w:sz w:val="24"/>
          <w:szCs w:val="24"/>
          <w:highlight w:val="none"/>
          <w:u w:val="none"/>
          <w:lang w:val="en-US" w:eastAsia="zh-CN"/>
        </w:rPr>
        <w:t xml:space="preserve"> 15657789226</w:t>
      </w:r>
    </w:p>
    <w:p w14:paraId="2E81DA9B">
      <w:pPr>
        <w:pStyle w:val="3"/>
        <w:keepNext w:val="0"/>
        <w:keepLines w:val="0"/>
        <w:pageBreakBefore w:val="0"/>
        <w:kinsoku/>
        <w:wordWrap/>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48B394D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0049857D">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val="0"/>
          <w:bCs w:val="0"/>
          <w:color w:val="auto"/>
          <w:kern w:val="0"/>
          <w:sz w:val="24"/>
          <w:szCs w:val="24"/>
          <w:u w:val="none"/>
          <w:lang w:val="en-US" w:eastAsia="zh-CN" w:bidi="ar-SA"/>
        </w:rPr>
      </w:pPr>
    </w:p>
    <w:p w14:paraId="46C2CC06">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温州市龙湾区天河街道泰河村股份经济合作社</w:t>
      </w:r>
    </w:p>
    <w:p w14:paraId="72D63B76">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2025年3月26日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141605</wp:posOffset>
            </wp:positionH>
            <wp:positionV relativeFrom="paragraph">
              <wp:posOffset>-3326765</wp:posOffset>
            </wp:positionV>
            <wp:extent cx="5271770" cy="5833110"/>
            <wp:effectExtent l="0" t="0" r="5080" b="15240"/>
            <wp:wrapNone/>
            <wp:docPr id="3" name="图片 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1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085B10A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w:t>
      </w:r>
      <w:r>
        <w:rPr>
          <w:rFonts w:hint="eastAsia" w:ascii="宋体" w:hAnsi="宋体" w:cs="宋体"/>
          <w:color w:val="auto"/>
          <w:sz w:val="24"/>
          <w:szCs w:val="24"/>
          <w:highlight w:val="none"/>
          <w:lang w:val="en-US" w:eastAsia="zh-CN"/>
        </w:rPr>
        <w:t>过程</w:t>
      </w:r>
      <w:r>
        <w:rPr>
          <w:rFonts w:hint="eastAsia" w:ascii="宋体" w:hAnsi="宋体" w:eastAsia="宋体" w:cs="宋体"/>
          <w:color w:val="auto"/>
          <w:sz w:val="24"/>
          <w:szCs w:val="24"/>
          <w:highlight w:val="none"/>
          <w:lang w:eastAsia="zh-CN"/>
        </w:rPr>
        <w:t>行权。</w:t>
      </w:r>
    </w:p>
    <w:p w14:paraId="6C672CE4">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竞得人须在规定时间内付清履约保证金、交易服务费及平台技术服务费。除京东平台技术服务费外，其余剩余应交款采用线下支付尾款的方式，交纳至温州市龙湾区农村产权服务中心有限公司指定银行账号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1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2025年3月26日</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9pt;margin-top:2.3pt;height:78.3pt;width:461.4pt;z-index:251663360;mso-width-relative:page;mso-height-relative:page;" fillcolor="#FFFFFF" filled="t" stroked="t" coordsize="21600,21600" o:gfxdata="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zhNDWAAAACAEAAA8AAAAAAAAAAQAg&#10;AAAAIgAAAGRycy9kb3ducmV2LnhtbFBLAQIUABQAAAAIAIdO4kAKtuEcEAIAAEQEAAAOAAAAAAAA&#10;AAEAIAAAACUBAABkcnMvZTJvRG9jLnhtbFBLBQYAAAAABgAGAFkBAACnBQ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5CF2D489">
      <w:pPr>
        <w:pStyle w:val="8"/>
        <w:ind w:left="0" w:leftChars="0" w:firstLine="0" w:firstLineChars="0"/>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-1283335</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温州市龙湾区天河街道泰河村股份经济合作社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716"/>
        <w:gridCol w:w="1965"/>
        <w:gridCol w:w="1560"/>
        <w:gridCol w:w="1370"/>
      </w:tblGrid>
      <w:tr w14:paraId="5FF4D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1C3DB820">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w:t>
            </w:r>
            <w:r>
              <w:rPr>
                <w:rFonts w:hint="eastAsia" w:asciiTheme="minorEastAsia" w:hAnsiTheme="minorEastAsia" w:eastAsiaTheme="minorEastAsia" w:cstheme="minorEastAsia"/>
                <w:b/>
                <w:bCs/>
                <w:sz w:val="24"/>
                <w:szCs w:val="24"/>
              </w:rPr>
              <w:t>编号</w:t>
            </w:r>
          </w:p>
        </w:tc>
        <w:tc>
          <w:tcPr>
            <w:tcW w:w="3716" w:type="dxa"/>
            <w:tcBorders>
              <w:top w:val="single" w:color="000000" w:sz="4" w:space="0"/>
              <w:left w:val="single" w:color="000000" w:sz="4" w:space="0"/>
              <w:bottom w:val="single" w:color="000000" w:sz="4" w:space="0"/>
              <w:right w:val="single" w:color="000000" w:sz="4" w:space="0"/>
            </w:tcBorders>
            <w:noWrap w:val="0"/>
            <w:vAlign w:val="center"/>
          </w:tcPr>
          <w:p w14:paraId="2BD3D71E">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标的概况</w:t>
            </w:r>
          </w:p>
        </w:tc>
        <w:tc>
          <w:tcPr>
            <w:tcW w:w="3525" w:type="dxa"/>
            <w:gridSpan w:val="2"/>
            <w:tcBorders>
              <w:top w:val="single" w:color="000000" w:sz="4" w:space="0"/>
              <w:left w:val="single" w:color="000000" w:sz="4" w:space="0"/>
              <w:bottom w:val="single" w:color="000000" w:sz="4" w:space="0"/>
              <w:right w:val="single" w:color="auto" w:sz="4" w:space="0"/>
            </w:tcBorders>
            <w:noWrap w:val="0"/>
            <w:vAlign w:val="center"/>
          </w:tcPr>
          <w:p w14:paraId="3C72CF88">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面积</w:t>
            </w:r>
          </w:p>
        </w:tc>
        <w:tc>
          <w:tcPr>
            <w:tcW w:w="1370" w:type="dxa"/>
            <w:tcBorders>
              <w:top w:val="single" w:color="000000" w:sz="4" w:space="0"/>
              <w:left w:val="nil"/>
              <w:bottom w:val="single" w:color="000000" w:sz="4" w:space="0"/>
              <w:right w:val="single" w:color="auto" w:sz="4" w:space="0"/>
            </w:tcBorders>
            <w:noWrap w:val="0"/>
            <w:vAlign w:val="center"/>
          </w:tcPr>
          <w:p w14:paraId="012EE93F">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首年租金</w:t>
            </w:r>
          </w:p>
          <w:p w14:paraId="140F9044">
            <w:pPr>
              <w:widowControl/>
              <w:jc w:val="center"/>
              <w:rPr>
                <w:rFonts w:hint="eastAsia" w:ascii="宋体" w:hAnsi="宋体" w:eastAsia="宋体" w:cs="宋体"/>
                <w:b/>
                <w:bCs/>
                <w:color w:val="000000"/>
                <w:kern w:val="2"/>
                <w:sz w:val="24"/>
                <w:szCs w:val="24"/>
                <w:highlight w:val="none"/>
                <w:lang w:val="en-US" w:eastAsia="zh-CN" w:bidi="ar"/>
              </w:rPr>
            </w:pPr>
            <w:r>
              <w:rPr>
                <w:rFonts w:hint="eastAsia" w:asciiTheme="minorEastAsia" w:hAnsiTheme="minorEastAsia" w:eastAsiaTheme="minorEastAsia" w:cstheme="minorEastAsia"/>
                <w:b/>
                <w:bCs/>
                <w:sz w:val="24"/>
                <w:szCs w:val="24"/>
                <w:lang w:val="en-US" w:eastAsia="zh-CN"/>
              </w:rPr>
              <w:t>起始价</w:t>
            </w:r>
          </w:p>
        </w:tc>
      </w:tr>
      <w:tr w14:paraId="7AE16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restart"/>
            <w:tcBorders>
              <w:top w:val="single" w:color="000000" w:sz="4" w:space="0"/>
              <w:left w:val="single" w:color="auto" w:sz="4" w:space="0"/>
              <w:right w:val="single" w:color="000000" w:sz="4" w:space="0"/>
            </w:tcBorders>
            <w:noWrap w:val="0"/>
            <w:vAlign w:val="center"/>
          </w:tcPr>
          <w:p w14:paraId="5250041D">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kern w:val="2"/>
                <w:sz w:val="24"/>
                <w:szCs w:val="24"/>
                <w:lang w:val="en-US" w:eastAsia="zh-CN" w:bidi="ar-SA"/>
              </w:rPr>
              <w:t>1</w:t>
            </w:r>
          </w:p>
        </w:tc>
        <w:tc>
          <w:tcPr>
            <w:tcW w:w="3716" w:type="dxa"/>
            <w:vMerge w:val="restart"/>
            <w:tcBorders>
              <w:top w:val="single" w:color="000000" w:sz="4" w:space="0"/>
              <w:left w:val="single" w:color="000000" w:sz="4" w:space="0"/>
              <w:right w:val="single" w:color="000000" w:sz="4" w:space="0"/>
            </w:tcBorders>
            <w:noWrap w:val="0"/>
            <w:vAlign w:val="center"/>
          </w:tcPr>
          <w:p w14:paraId="4C9FAA3B">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eastAsiaTheme="minorEastAsia" w:cstheme="minorEastAsia"/>
                <w:kern w:val="2"/>
                <w:sz w:val="24"/>
                <w:szCs w:val="24"/>
                <w:lang w:val="en-US" w:eastAsia="zh-CN" w:bidi="ar-SA"/>
              </w:rPr>
              <w:t>温州市龙湾区天河街道泰河村蔬菜种植基地及管理房五年租赁权</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3F518C6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ajorEastAsia" w:hAnsiTheme="majorEastAsia" w:eastAsiaTheme="majorEastAsia" w:cstheme="majorEastAsia"/>
                <w:b w:val="0"/>
                <w:bCs/>
                <w:kern w:val="2"/>
                <w:sz w:val="24"/>
                <w:szCs w:val="24"/>
                <w:highlight w:val="none"/>
                <w:lang w:val="en-US"/>
              </w:rPr>
            </w:pPr>
            <w:r>
              <w:rPr>
                <w:rFonts w:hint="eastAsia" w:asciiTheme="minorEastAsia" w:hAnsiTheme="minorEastAsia" w:eastAsiaTheme="minorEastAsia" w:cstheme="minorEastAsia"/>
                <w:sz w:val="24"/>
                <w:szCs w:val="24"/>
                <w:vertAlign w:val="baseline"/>
                <w:lang w:val="en-US" w:eastAsia="zh-CN"/>
              </w:rPr>
              <w:t>大棚约60.38亩</w:t>
            </w:r>
          </w:p>
        </w:tc>
        <w:tc>
          <w:tcPr>
            <w:tcW w:w="1560" w:type="dxa"/>
            <w:vMerge w:val="restart"/>
            <w:tcBorders>
              <w:top w:val="single" w:color="000000" w:sz="4" w:space="0"/>
              <w:left w:val="single" w:color="000000" w:sz="4" w:space="0"/>
              <w:right w:val="single" w:color="auto" w:sz="4" w:space="0"/>
            </w:tcBorders>
            <w:noWrap w:val="0"/>
            <w:vAlign w:val="center"/>
          </w:tcPr>
          <w:p w14:paraId="2ED0DA17">
            <w:pPr>
              <w:spacing w:line="320" w:lineRule="exact"/>
              <w:jc w:val="center"/>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vertAlign w:val="baseline"/>
                <w:lang w:val="en-US" w:eastAsia="zh-CN"/>
              </w:rPr>
              <w:t>合计约50643.33㎡</w:t>
            </w:r>
          </w:p>
        </w:tc>
        <w:tc>
          <w:tcPr>
            <w:tcW w:w="1370" w:type="dxa"/>
            <w:vMerge w:val="restart"/>
            <w:tcBorders>
              <w:top w:val="single" w:color="000000" w:sz="4" w:space="0"/>
              <w:left w:val="nil"/>
              <w:right w:val="single" w:color="auto" w:sz="4" w:space="0"/>
            </w:tcBorders>
            <w:noWrap w:val="0"/>
            <w:vAlign w:val="center"/>
          </w:tcPr>
          <w:p w14:paraId="35E51B5B">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170084元</w:t>
            </w:r>
          </w:p>
        </w:tc>
      </w:tr>
      <w:tr w14:paraId="1B212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continue"/>
            <w:tcBorders>
              <w:left w:val="single" w:color="auto" w:sz="4" w:space="0"/>
              <w:right w:val="single" w:color="000000" w:sz="4" w:space="0"/>
            </w:tcBorders>
            <w:noWrap w:val="0"/>
            <w:vAlign w:val="center"/>
          </w:tcPr>
          <w:p w14:paraId="3B4CF2F8">
            <w:pPr>
              <w:spacing w:line="320" w:lineRule="exact"/>
              <w:jc w:val="center"/>
              <w:rPr>
                <w:rFonts w:hint="eastAsia" w:asciiTheme="majorEastAsia" w:hAnsiTheme="majorEastAsia" w:eastAsiaTheme="majorEastAsia" w:cstheme="majorEastAsia"/>
                <w:bCs/>
                <w:sz w:val="24"/>
                <w:szCs w:val="24"/>
                <w:highlight w:val="none"/>
                <w:lang w:val="en-US" w:eastAsia="zh-CN"/>
              </w:rPr>
            </w:pPr>
          </w:p>
        </w:tc>
        <w:tc>
          <w:tcPr>
            <w:tcW w:w="3716" w:type="dxa"/>
            <w:vMerge w:val="continue"/>
            <w:tcBorders>
              <w:left w:val="single" w:color="000000" w:sz="4" w:space="0"/>
              <w:right w:val="single" w:color="000000" w:sz="4" w:space="0"/>
            </w:tcBorders>
            <w:noWrap w:val="0"/>
            <w:vAlign w:val="center"/>
          </w:tcPr>
          <w:p w14:paraId="347BA680">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180F77F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lang w:val="en-US" w:eastAsia="zh-CN"/>
              </w:rPr>
              <w:t>露天约15亩</w:t>
            </w:r>
          </w:p>
        </w:tc>
        <w:tc>
          <w:tcPr>
            <w:tcW w:w="1560" w:type="dxa"/>
            <w:vMerge w:val="continue"/>
            <w:tcBorders>
              <w:left w:val="single" w:color="000000" w:sz="4" w:space="0"/>
              <w:right w:val="single" w:color="auto" w:sz="4" w:space="0"/>
            </w:tcBorders>
            <w:noWrap w:val="0"/>
            <w:vAlign w:val="center"/>
          </w:tcPr>
          <w:p w14:paraId="5639184B">
            <w:pPr>
              <w:spacing w:line="320" w:lineRule="exact"/>
              <w:jc w:val="center"/>
              <w:rPr>
                <w:rFonts w:hint="eastAsia" w:ascii="宋体" w:hAnsi="宋体" w:cs="宋体"/>
                <w:kern w:val="2"/>
                <w:sz w:val="24"/>
                <w:szCs w:val="24"/>
                <w:highlight w:val="none"/>
                <w:lang w:val="en-US" w:eastAsia="zh-CN" w:bidi="ar-SA"/>
              </w:rPr>
            </w:pPr>
          </w:p>
        </w:tc>
        <w:tc>
          <w:tcPr>
            <w:tcW w:w="1370" w:type="dxa"/>
            <w:vMerge w:val="continue"/>
            <w:tcBorders>
              <w:left w:val="nil"/>
              <w:right w:val="single" w:color="auto" w:sz="4" w:space="0"/>
            </w:tcBorders>
            <w:noWrap w:val="0"/>
            <w:vAlign w:val="center"/>
          </w:tcPr>
          <w:p w14:paraId="18FC5860">
            <w:pPr>
              <w:spacing w:line="320" w:lineRule="exact"/>
              <w:jc w:val="center"/>
              <w:rPr>
                <w:rFonts w:hint="eastAsia" w:asciiTheme="majorEastAsia" w:hAnsiTheme="majorEastAsia" w:eastAsiaTheme="majorEastAsia" w:cstheme="majorEastAsia"/>
                <w:bCs/>
                <w:sz w:val="24"/>
                <w:szCs w:val="24"/>
                <w:highlight w:val="none"/>
                <w:lang w:val="en-US" w:eastAsia="zh-CN"/>
              </w:rPr>
            </w:pPr>
          </w:p>
        </w:tc>
      </w:tr>
      <w:tr w14:paraId="1B19A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continue"/>
            <w:tcBorders>
              <w:left w:val="single" w:color="auto" w:sz="4" w:space="0"/>
              <w:bottom w:val="single" w:color="000000" w:sz="4" w:space="0"/>
              <w:right w:val="single" w:color="000000" w:sz="4" w:space="0"/>
            </w:tcBorders>
            <w:noWrap w:val="0"/>
            <w:vAlign w:val="center"/>
          </w:tcPr>
          <w:p w14:paraId="32C0F2A0">
            <w:pPr>
              <w:spacing w:line="320" w:lineRule="exact"/>
              <w:jc w:val="center"/>
              <w:rPr>
                <w:rFonts w:hint="eastAsia" w:asciiTheme="majorEastAsia" w:hAnsiTheme="majorEastAsia" w:eastAsiaTheme="majorEastAsia" w:cstheme="majorEastAsia"/>
                <w:bCs/>
                <w:sz w:val="24"/>
                <w:szCs w:val="24"/>
                <w:highlight w:val="none"/>
                <w:lang w:val="en-US" w:eastAsia="zh-CN"/>
              </w:rPr>
            </w:pPr>
          </w:p>
        </w:tc>
        <w:tc>
          <w:tcPr>
            <w:tcW w:w="3716" w:type="dxa"/>
            <w:vMerge w:val="continue"/>
            <w:tcBorders>
              <w:left w:val="single" w:color="000000" w:sz="4" w:space="0"/>
              <w:bottom w:val="single" w:color="000000" w:sz="4" w:space="0"/>
              <w:right w:val="single" w:color="000000" w:sz="4" w:space="0"/>
            </w:tcBorders>
            <w:noWrap w:val="0"/>
            <w:vAlign w:val="center"/>
          </w:tcPr>
          <w:p w14:paraId="0D4FF047">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2304AB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lang w:val="en-US" w:eastAsia="zh-CN"/>
              </w:rPr>
              <w:t>管理房约390㎡</w:t>
            </w:r>
          </w:p>
        </w:tc>
        <w:tc>
          <w:tcPr>
            <w:tcW w:w="1560" w:type="dxa"/>
            <w:vMerge w:val="continue"/>
            <w:tcBorders>
              <w:left w:val="single" w:color="000000" w:sz="4" w:space="0"/>
              <w:bottom w:val="single" w:color="000000" w:sz="4" w:space="0"/>
              <w:right w:val="single" w:color="auto" w:sz="4" w:space="0"/>
            </w:tcBorders>
            <w:noWrap w:val="0"/>
            <w:vAlign w:val="center"/>
          </w:tcPr>
          <w:p w14:paraId="28307C0D">
            <w:pPr>
              <w:spacing w:line="320" w:lineRule="exact"/>
              <w:jc w:val="center"/>
              <w:rPr>
                <w:rFonts w:hint="eastAsia" w:ascii="宋体" w:hAnsi="宋体" w:cs="宋体"/>
                <w:kern w:val="2"/>
                <w:sz w:val="24"/>
                <w:szCs w:val="24"/>
                <w:highlight w:val="none"/>
                <w:lang w:val="en-US" w:eastAsia="zh-CN" w:bidi="ar-SA"/>
              </w:rPr>
            </w:pPr>
          </w:p>
        </w:tc>
        <w:tc>
          <w:tcPr>
            <w:tcW w:w="1370" w:type="dxa"/>
            <w:vMerge w:val="continue"/>
            <w:tcBorders>
              <w:left w:val="nil"/>
              <w:bottom w:val="single" w:color="000000" w:sz="4" w:space="0"/>
              <w:right w:val="single" w:color="auto" w:sz="4" w:space="0"/>
            </w:tcBorders>
            <w:noWrap w:val="0"/>
            <w:vAlign w:val="center"/>
          </w:tcPr>
          <w:p w14:paraId="6C1E6113">
            <w:pPr>
              <w:spacing w:line="320" w:lineRule="exact"/>
              <w:jc w:val="center"/>
              <w:rPr>
                <w:rFonts w:hint="eastAsia" w:asciiTheme="majorEastAsia" w:hAnsiTheme="majorEastAsia" w:eastAsiaTheme="majorEastAsia" w:cstheme="majorEastAsia"/>
                <w:bCs/>
                <w:sz w:val="24"/>
                <w:szCs w:val="24"/>
                <w:highlight w:val="none"/>
                <w:lang w:val="en-US" w:eastAsia="zh-CN"/>
              </w:rPr>
            </w:pPr>
          </w:p>
        </w:tc>
      </w:tr>
      <w:tr w14:paraId="1AB08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13B24515">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租期5年，租金（不含税）一年一付，先付后用，第1-3年租金为竞价成交价，第4-5年租金在第3年租金的基础上递增2%。</w:t>
            </w:r>
          </w:p>
          <w:p w14:paraId="3399126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jc w:val="left"/>
              <w:textAlignment w:val="auto"/>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t>2、经营业态为农业种植。</w:t>
            </w:r>
          </w:p>
          <w:p w14:paraId="245991EB">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3、原承租人在同等条件下享有优先权。</w:t>
            </w:r>
          </w:p>
          <w:p w14:paraId="0A36F4F7">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default"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4、租赁期满后，所种植的所有农作物全部归村集体所有。</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-3315970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竞得人须向京东资产交易平台支付技术服务费。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技术服务费计算如下：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以下（含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p>
        </w:tc>
      </w:tr>
      <w:tr w14:paraId="10B5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48" w:type="dxa"/>
            <w:noWrap w:val="0"/>
            <w:vAlign w:val="center"/>
          </w:tcPr>
          <w:p w14:paraId="72A1ABBD">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1000以上</w:t>
            </w:r>
          </w:p>
        </w:tc>
        <w:tc>
          <w:tcPr>
            <w:tcW w:w="4203" w:type="dxa"/>
            <w:noWrap w:val="0"/>
            <w:vAlign w:val="center"/>
          </w:tcPr>
          <w:p w14:paraId="2F0C6DE4">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-5023485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ascii="宋体" w:hAnsi="宋体" w:eastAsia="宋体" w:cs="宋体"/>
          <w:b w:val="0"/>
          <w:bCs w:val="0"/>
          <w:color w:val="auto"/>
          <w:sz w:val="24"/>
          <w:szCs w:val="24"/>
          <w:highlight w:val="none"/>
          <w:u w:val="single"/>
          <w:lang w:val="en-US" w:eastAsia="zh-CN"/>
        </w:rPr>
        <w:t>标</w:t>
      </w:r>
      <w:r>
        <w:rPr>
          <w:rFonts w:hint="eastAsia" w:ascii="宋体" w:hAnsi="宋体" w:eastAsia="宋体" w:cs="宋体"/>
          <w:color w:val="auto"/>
          <w:sz w:val="24"/>
          <w:szCs w:val="24"/>
          <w:highlight w:val="none"/>
          <w:u w:val="single"/>
          <w:lang w:val="en-US" w:eastAsia="zh-CN"/>
        </w:rPr>
        <w:t>的物无</w:t>
      </w:r>
      <w:r>
        <w:rPr>
          <w:rFonts w:hint="eastAsia" w:cs="宋体"/>
          <w:color w:val="auto"/>
          <w:sz w:val="24"/>
          <w:szCs w:val="24"/>
          <w:highlight w:val="none"/>
          <w:u w:val="single"/>
          <w:lang w:val="en-US" w:eastAsia="zh-CN"/>
        </w:rPr>
        <w:t>不动产权</w:t>
      </w:r>
      <w:r>
        <w:rPr>
          <w:rFonts w:hint="eastAsia" w:ascii="宋体" w:hAnsi="宋体" w:eastAsia="宋体" w:cs="宋体"/>
          <w:color w:val="auto"/>
          <w:sz w:val="24"/>
          <w:szCs w:val="24"/>
          <w:highlight w:val="none"/>
          <w:u w:val="single"/>
          <w:lang w:val="en-US" w:eastAsia="zh-CN"/>
        </w:rPr>
        <w:t>证</w:t>
      </w:r>
      <w:r>
        <w:rPr>
          <w:rFonts w:hint="eastAsia" w:ascii="宋体" w:hAnsi="宋体" w:eastAsia="宋体" w:cs="宋体"/>
          <w:color w:val="auto"/>
          <w:sz w:val="24"/>
          <w:szCs w:val="24"/>
          <w:u w:val="single"/>
          <w:lang w:val="en-US" w:eastAsia="zh-CN"/>
        </w:rPr>
        <w:t>，因此，有关部门申请办理相关审批手续及相关证照的风险及责任由承租人自行承担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245745</wp:posOffset>
            </wp:positionH>
            <wp:positionV relativeFrom="paragraph">
              <wp:posOffset>-2007235</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6435B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71F0B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2025年3月26日</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-33655</wp:posOffset>
                </wp:positionH>
                <wp:positionV relativeFrom="paragraph">
                  <wp:posOffset>85725</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2.65pt;margin-top:6.75pt;height:78.3pt;width:461.4pt;z-index:251664384;mso-width-relative:page;mso-height-relative:page;" filled="f" stroked="t" coordsize="21600,21600" o:gfxdata="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pFQvDVAAAACQEAAA8AAAAAAAAAAQAgAAAAIgAA&#10;AGRycy9kb3ducmV2LnhtbFBLAQIUABQAAAAIAIdO4kC87ZJz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7FB4116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第1-3年租金为竞价成交价，第4-5年租金在第3年租金的基础上递增2%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AE3687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竞得人在规定期限内不全额支付年租金、租赁履约保证金及交易服务费的，都视为竞得人已经构成实质性违约，承担违约责任，除竞价保证金不予退还外，标的再行竞价的，再行竞价的价款低于原竞价价款的，原竞得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具体租赁事项以竞得人与温州市龙湾区天河街道泰河村股份经济合作社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2025年3月   日</w:t>
      </w:r>
    </w:p>
    <w:p w14:paraId="5D601834">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6534A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pPr>
    </w:p>
    <w:p w14:paraId="41AB94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0B069BE">
      <w:pPr>
        <w:keepNext w:val="0"/>
        <w:keepLines w:val="0"/>
        <w:pageBreakBefore w:val="0"/>
        <w:kinsoku/>
        <w:wordWrap/>
        <w:overflowPunct/>
        <w:topLinePunct w:val="0"/>
        <w:bidi w:val="0"/>
        <w:snapToGrid/>
        <w:spacing w:line="40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温州市龙湾区天河街道泰河村股份经济合作社</w:t>
      </w:r>
    </w:p>
    <w:p w14:paraId="249FB8E4">
      <w:pPr>
        <w:keepNext w:val="0"/>
        <w:keepLines w:val="0"/>
        <w:pageBreakBefore w:val="0"/>
        <w:kinsoku/>
        <w:wordWrap/>
        <w:overflowPunct/>
        <w:topLinePunct w:val="0"/>
        <w:bidi w:val="0"/>
        <w:snapToGrid/>
        <w:spacing w:line="400" w:lineRule="exact"/>
        <w:rPr>
          <w:sz w:val="24"/>
          <w:szCs w:val="24"/>
        </w:rPr>
      </w:pPr>
      <w:r>
        <w:rPr>
          <w:rFonts w:hint="eastAsia"/>
          <w:sz w:val="24"/>
          <w:szCs w:val="24"/>
        </w:rPr>
        <w:t>乙方：</w:t>
      </w:r>
    </w:p>
    <w:p w14:paraId="4220E4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bCs/>
          <w:color w:val="auto"/>
          <w:sz w:val="24"/>
          <w:highlight w:val="none"/>
          <w:u w:val="single"/>
          <w:lang w:val="en-US" w:eastAsia="zh-CN"/>
        </w:rPr>
        <w:t xml:space="preserve"> </w:t>
      </w:r>
      <w:r>
        <w:rPr>
          <w:rFonts w:hint="eastAsia" w:ascii="宋体" w:hAnsi="宋体" w:cs="宋体"/>
          <w:b w:val="0"/>
          <w:bCs w:val="0"/>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sz w:val="24"/>
          <w:szCs w:val="24"/>
        </w:rPr>
        <w:t>事宜协商一致，订立本合同。</w:t>
      </w:r>
    </w:p>
    <w:p w14:paraId="5278F262">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09AC4CAB">
      <w:pPr>
        <w:keepNext w:val="0"/>
        <w:keepLines w:val="0"/>
        <w:pageBreakBefore w:val="0"/>
        <w:kinsoku/>
        <w:wordWrap/>
        <w:overflowPunct/>
        <w:topLinePunct w:val="0"/>
        <w:bidi w:val="0"/>
        <w:snapToGrid/>
        <w:spacing w:line="40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 xml:space="preserve">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w:t>
      </w:r>
      <w:r>
        <w:rPr>
          <w:rFonts w:hint="eastAsia" w:cs="Times New Roman"/>
          <w:b w:val="0"/>
          <w:bCs/>
          <w:sz w:val="24"/>
          <w:szCs w:val="24"/>
          <w:u w:val="single" w:color="auto"/>
          <w:lang w:val="en-US" w:eastAsia="zh-CN"/>
        </w:rPr>
        <w:t>无不动产权证</w:t>
      </w:r>
      <w:r>
        <w:rPr>
          <w:rFonts w:hint="eastAsia" w:ascii="Times New Roman" w:hAnsi="Times New Roman" w:eastAsia="宋体" w:cs="Times New Roman"/>
          <w:b w:val="0"/>
          <w:bCs/>
          <w:sz w:val="24"/>
          <w:szCs w:val="24"/>
          <w:u w:val="single" w:color="auto"/>
          <w:lang w:val="en-US" w:eastAsia="zh-CN"/>
        </w:rPr>
        <w:t>，经营业态为</w:t>
      </w:r>
      <w:r>
        <w:rPr>
          <w:rFonts w:hint="eastAsia" w:cs="Times New Roman"/>
          <w:b w:val="0"/>
          <w:bCs/>
          <w:sz w:val="24"/>
          <w:szCs w:val="24"/>
          <w:u w:val="single" w:color="auto"/>
          <w:lang w:val="en-US" w:eastAsia="zh-CN"/>
        </w:rPr>
        <w:t>农业种植</w:t>
      </w:r>
      <w:r>
        <w:rPr>
          <w:rFonts w:hint="eastAsia" w:ascii="Times New Roman" w:hAnsi="Times New Roman" w:eastAsia="宋体" w:cs="Times New Roman"/>
          <w:b w:val="0"/>
          <w:bCs/>
          <w:sz w:val="24"/>
          <w:szCs w:val="24"/>
          <w:u w:val="single" w:color="auto"/>
          <w:lang w:val="en-US" w:eastAsia="zh-CN"/>
        </w:rPr>
        <w:t>。</w:t>
      </w:r>
    </w:p>
    <w:p w14:paraId="7DF538A0">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569F95C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BC74C5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665480</wp:posOffset>
            </wp:positionH>
            <wp:positionV relativeFrom="paragraph">
              <wp:posOffset>-1837690</wp:posOffset>
            </wp:positionV>
            <wp:extent cx="5271770" cy="5833110"/>
            <wp:effectExtent l="0" t="0" r="5080" b="15240"/>
            <wp:wrapNone/>
            <wp:docPr id="30"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，应当在租赁期限届满前2个月书面通知甲方，如甲方仍要对外出租，在同等条件下，乙方享有优先承租权。乙方在</w:t>
      </w:r>
      <w:bookmarkStart w:id="1" w:name="_GoBack"/>
      <w:bookmarkEnd w:id="1"/>
      <w:r>
        <w:rPr>
          <w:rFonts w:hint="eastAsia" w:ascii="宋体" w:hAnsi="宋体" w:cs="宋体"/>
          <w:sz w:val="24"/>
          <w:szCs w:val="24"/>
          <w:highlight w:val="none"/>
          <w:lang w:val="en-US" w:eastAsia="zh-CN"/>
        </w:rPr>
        <w:t>租赁期间，如有违约情形之一的，则丧失优先承租权。</w:t>
      </w:r>
    </w:p>
    <w:p w14:paraId="551C2B5E">
      <w:pPr>
        <w:keepNext w:val="0"/>
        <w:keepLines w:val="0"/>
        <w:pageBreakBefore w:val="0"/>
        <w:numPr>
          <w:ilvl w:val="0"/>
          <w:numId w:val="2"/>
        </w:numPr>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723708FD">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762FBA2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6F62D7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A984CA0">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0B738A5">
      <w:pPr>
        <w:pStyle w:val="8"/>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2C08C01">
      <w:pPr>
        <w:pStyle w:val="8"/>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E03CC2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6.租金（不含税）一年一付，先付后用，第1-3年租金为竞价成交价，第4-5年租金在第3年租金的基础上递增2%。</w:t>
      </w:r>
    </w:p>
    <w:p w14:paraId="2D1B551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元</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2F0D9D2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19DE6C35">
      <w:pPr>
        <w:keepNext w:val="0"/>
        <w:keepLines w:val="0"/>
        <w:pageBreakBefore w:val="0"/>
        <w:kinsoku/>
        <w:wordWrap/>
        <w:overflowPunct/>
        <w:topLinePunct w:val="0"/>
        <w:bidi w:val="0"/>
        <w:snapToGrid/>
        <w:spacing w:line="400" w:lineRule="exact"/>
        <w:ind w:firstLine="480" w:firstLineChars="200"/>
        <w:textAlignment w:val="auto"/>
        <w:rPr>
          <w:rFonts w:hint="default"/>
          <w:highlight w:val="none"/>
          <w:lang w:val="en-US" w:eastAsia="zh-CN"/>
        </w:rPr>
      </w:pPr>
      <w:r>
        <w:rPr>
          <w:rFonts w:hint="eastAsia" w:ascii="宋体" w:hAnsi="宋体" w:cs="宋体"/>
          <w:sz w:val="24"/>
          <w:szCs w:val="24"/>
          <w:highlight w:val="none"/>
          <w:lang w:val="en-US" w:eastAsia="zh-CN"/>
        </w:rPr>
        <w:t>四、乙方须支付年租金至甲方指定账户（账户名称：</w:t>
      </w:r>
      <w:r>
        <w:rPr>
          <w:rFonts w:hint="eastAsia" w:ascii="宋体" w:hAnsi="宋体" w:cs="宋体"/>
          <w:sz w:val="24"/>
          <w:szCs w:val="24"/>
          <w:highlight w:val="none"/>
          <w:u w:val="single"/>
          <w:lang w:val="en-US" w:eastAsia="zh-CN"/>
        </w:rPr>
        <w:t>温州市龙湾区农村产权服务中心有限公司产权交易专用账户</w:t>
      </w:r>
      <w:r>
        <w:rPr>
          <w:rFonts w:hint="eastAsia" w:ascii="宋体" w:hAnsi="宋体" w:cs="宋体"/>
          <w:sz w:val="24"/>
          <w:szCs w:val="24"/>
          <w:highlight w:val="none"/>
          <w:lang w:val="en-US" w:eastAsia="zh-CN"/>
        </w:rPr>
        <w:t>；</w:t>
      </w:r>
      <w:r>
        <w:rPr>
          <w:rFonts w:hint="eastAsia" w:ascii="宋体" w:hAnsi="宋体" w:cs="宋体"/>
          <w:sz w:val="24"/>
          <w:szCs w:val="24"/>
          <w:highlight w:val="none"/>
          <w:u w:val="none"/>
          <w:lang w:val="en-US" w:eastAsia="zh-CN"/>
        </w:rPr>
        <w:t>账号：</w:t>
      </w:r>
      <w:r>
        <w:rPr>
          <w:rFonts w:hint="eastAsia" w:ascii="宋体" w:hAnsi="宋体" w:cs="宋体"/>
          <w:sz w:val="24"/>
          <w:szCs w:val="24"/>
          <w:highlight w:val="none"/>
          <w:u w:val="single"/>
          <w:lang w:val="en-US" w:eastAsia="zh-CN"/>
        </w:rPr>
        <w:t>201000355725637000001</w:t>
      </w:r>
      <w:r>
        <w:rPr>
          <w:rFonts w:hint="eastAsia" w:ascii="宋体" w:hAnsi="宋体" w:cs="宋体"/>
          <w:sz w:val="24"/>
          <w:szCs w:val="24"/>
          <w:highlight w:val="none"/>
          <w:lang w:val="en-US" w:eastAsia="zh-CN"/>
        </w:rPr>
        <w:t>；开户行：</w:t>
      </w:r>
      <w:r>
        <w:rPr>
          <w:rFonts w:hint="eastAsia" w:ascii="宋体" w:hAnsi="宋体" w:cs="宋体"/>
          <w:sz w:val="24"/>
          <w:szCs w:val="24"/>
          <w:highlight w:val="none"/>
          <w:u w:val="single"/>
          <w:lang w:val="en-US" w:eastAsia="zh-CN"/>
        </w:rPr>
        <w:t>浙江温州龙湾农村商业银行股份有限公司营业部</w:t>
      </w:r>
      <w:r>
        <w:rPr>
          <w:rFonts w:hint="eastAsia" w:ascii="宋体" w:hAnsi="宋体" w:cs="宋体"/>
          <w:sz w:val="24"/>
          <w:szCs w:val="24"/>
          <w:highlight w:val="none"/>
          <w:lang w:val="en-US" w:eastAsia="zh-CN"/>
        </w:rPr>
        <w:t>），并在汇款时备注</w:t>
      </w:r>
      <w:r>
        <w:rPr>
          <w:rFonts w:hint="eastAsia" w:ascii="宋体" w:hAnsi="宋体" w:cs="宋体"/>
          <w:sz w:val="24"/>
          <w:szCs w:val="24"/>
          <w:highlight w:val="none"/>
          <w:u w:val="single"/>
          <w:lang w:val="en-US" w:eastAsia="zh-CN"/>
        </w:rPr>
        <w:t>泰河村蔬菜种植基地及管理房租赁项目</w:t>
      </w:r>
      <w:r>
        <w:rPr>
          <w:rFonts w:hint="eastAsia" w:ascii="宋体" w:hAnsi="宋体" w:cs="宋体"/>
          <w:sz w:val="24"/>
          <w:szCs w:val="24"/>
          <w:highlight w:val="none"/>
          <w:lang w:val="en-US" w:eastAsia="zh-CN"/>
        </w:rPr>
        <w:t>。</w:t>
      </w:r>
    </w:p>
    <w:p w14:paraId="2B009F01">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779F2CAB">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01E9492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717BFB1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75BBFD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872ED5B">
      <w:pPr>
        <w:keepNext w:val="0"/>
        <w:keepLines w:val="0"/>
        <w:pageBreakBefore w:val="0"/>
        <w:kinsoku/>
        <w:wordWrap/>
        <w:overflowPunct/>
        <w:topLinePunct w:val="0"/>
        <w:bidi w:val="0"/>
        <w:snapToGrid/>
        <w:spacing w:line="400" w:lineRule="exact"/>
        <w:ind w:firstLine="442" w:firstLineChars="100"/>
        <w:textAlignment w:val="auto"/>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516890</wp:posOffset>
            </wp:positionH>
            <wp:positionV relativeFrom="paragraph">
              <wp:posOffset>135890</wp:posOffset>
            </wp:positionV>
            <wp:extent cx="5271770" cy="5833110"/>
            <wp:effectExtent l="0" t="0" r="5080" b="15240"/>
            <wp:wrapNone/>
            <wp:docPr id="31"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0561756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val="en-US" w:eastAsia="zh-CN"/>
        </w:rPr>
        <w:t>六、</w:t>
      </w: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3378B39D">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七、</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5B3867C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八、</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7F9457C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九</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3CCC6E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1BAF0B0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6CFFA22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079D483">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40E3BA92">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D73C69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4C062AA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769D77E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573EDDE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38AEC84F">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05927DD7">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5E1007BD">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0A9420D6">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350799A8">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E7C060E">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4B3140A6">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2A838E5E">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691AEA67">
      <w:pPr>
        <w:pStyle w:val="14"/>
        <w:keepNext w:val="0"/>
        <w:keepLines w:val="0"/>
        <w:pageBreakBefore w:val="0"/>
        <w:kinsoku/>
        <w:wordWrap/>
        <w:overflowPunct/>
        <w:topLinePunct w:val="0"/>
        <w:bidi w:val="0"/>
        <w:snapToGrid/>
        <w:spacing w:line="400" w:lineRule="exact"/>
        <w:ind w:firstLine="442" w:firstLineChars="100"/>
        <w:jc w:val="both"/>
        <w:textAlignment w:val="auto"/>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474345</wp:posOffset>
            </wp:positionH>
            <wp:positionV relativeFrom="paragraph">
              <wp:posOffset>34290</wp:posOffset>
            </wp:positionV>
            <wp:extent cx="5271770" cy="5833110"/>
            <wp:effectExtent l="0" t="0" r="5080" b="15240"/>
            <wp:wrapNone/>
            <wp:docPr id="3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2C7D52E2">
      <w:pPr>
        <w:pStyle w:val="15"/>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71BCBC73">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69738133">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1F68F066">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AD50CA0">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60A1A1C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7754CA0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租赁物</w:t>
      </w:r>
      <w:r>
        <w:rPr>
          <w:rFonts w:hint="eastAsia" w:ascii="宋体" w:hAnsi="宋体" w:eastAsia="宋体" w:cs="宋体"/>
          <w:kern w:val="0"/>
          <w:sz w:val="24"/>
          <w:szCs w:val="24"/>
        </w:rPr>
        <w:t>交付乙方后，因乙方原因发生的一切关于安全、环保、消防等相关责任，由乙方自行承担。</w:t>
      </w:r>
    </w:p>
    <w:p w14:paraId="149A7B0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cs="宋体"/>
          <w:kern w:val="0"/>
          <w:sz w:val="24"/>
          <w:szCs w:val="24"/>
          <w:u w:val="single"/>
          <w:lang w:val="en-US" w:eastAsia="zh-CN"/>
        </w:rPr>
        <w:t xml:space="preserve">                                                                        </w:t>
      </w:r>
    </w:p>
    <w:p w14:paraId="4470C97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EDD71A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664ECDD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3E3209F7">
      <w:pPr>
        <w:keepNext w:val="0"/>
        <w:keepLines w:val="0"/>
        <w:pageBreakBefore w:val="0"/>
        <w:kinsoku/>
        <w:wordWrap/>
        <w:overflowPunct/>
        <w:topLinePunct w:val="0"/>
        <w:bidi w:val="0"/>
        <w:snapToGrid/>
        <w:spacing w:line="40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455FF516">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5A9599D8">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p>
    <w:p w14:paraId="290888CC">
      <w:pPr>
        <w:keepNext w:val="0"/>
        <w:keepLines w:val="0"/>
        <w:pageBreakBefore w:val="0"/>
        <w:kinsoku/>
        <w:wordWrap/>
        <w:overflowPunct/>
        <w:topLinePunct w:val="0"/>
        <w:bidi w:val="0"/>
        <w:snapToGrid/>
        <w:spacing w:line="400" w:lineRule="exact"/>
        <w:ind w:firstLine="1440" w:firstLineChars="600"/>
        <w:jc w:val="righ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rPr>
        <w:t>签订日期：    年    月   日</w:t>
      </w:r>
    </w:p>
    <w:p w14:paraId="488AC859">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43B89045">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85090</wp:posOffset>
                </wp:positionH>
                <wp:positionV relativeFrom="paragraph">
                  <wp:posOffset>13970</wp:posOffset>
                </wp:positionV>
                <wp:extent cx="5973445" cy="1080135"/>
                <wp:effectExtent l="4445" t="5080" r="22860" b="19685"/>
                <wp:wrapNone/>
                <wp:docPr id="12"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wps:spPr>
                      <wps:txb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6.7pt;margin-top:1.1pt;height:85.05pt;width:470.35pt;z-index:251665408;mso-width-relative:page;mso-height-relative:page;" filled="f" stroked="t" coordsize="21600,21600" o:gfxdata="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QNsSNUAAAAIAQAADwAAAAAAAAABACAAAAAiAAAAZHJz&#10;L2Rvd25yZXYueG1sUEsBAhQAFAAAAAgAh07iQLOKTjUHAgAAEAQAAA4AAAAAAAAAAQAgAAAAJAEA&#10;AGRycy9lMm9Eb2MueG1sUEsFBgAAAAAGAAYAWQEAAJ0FAAAAAA==&#10;">
                <v:fill on="f" focussize="0,0"/>
                <v:stroke color="#000000" joinstyle="miter"/>
                <v:imagedata o:title=""/>
                <o:lock v:ext="edit" aspectratio="f"/>
                <v:textbo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08EFBA1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69357748">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75BDF5E8">
      <w:pPr>
        <w:pStyle w:val="16"/>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522122A3"/>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729C0">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E4729C0">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3FC17">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843FC17">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EF1E8A"/>
    <w:rsid w:val="038349CC"/>
    <w:rsid w:val="043C1313"/>
    <w:rsid w:val="07980564"/>
    <w:rsid w:val="084464AE"/>
    <w:rsid w:val="088F35E5"/>
    <w:rsid w:val="0FFC1742"/>
    <w:rsid w:val="137A57A0"/>
    <w:rsid w:val="145C30F7"/>
    <w:rsid w:val="180F7322"/>
    <w:rsid w:val="181B7855"/>
    <w:rsid w:val="1A084DE7"/>
    <w:rsid w:val="1B43776B"/>
    <w:rsid w:val="1D506B65"/>
    <w:rsid w:val="1FB0010B"/>
    <w:rsid w:val="209061C6"/>
    <w:rsid w:val="23A10665"/>
    <w:rsid w:val="24C30629"/>
    <w:rsid w:val="251A0B90"/>
    <w:rsid w:val="262502D3"/>
    <w:rsid w:val="26F03C3F"/>
    <w:rsid w:val="2AA02D84"/>
    <w:rsid w:val="2CAA76C2"/>
    <w:rsid w:val="2E443CD9"/>
    <w:rsid w:val="312E1520"/>
    <w:rsid w:val="31851D68"/>
    <w:rsid w:val="3375264B"/>
    <w:rsid w:val="36676139"/>
    <w:rsid w:val="36716136"/>
    <w:rsid w:val="36D27916"/>
    <w:rsid w:val="392C1D09"/>
    <w:rsid w:val="3957222B"/>
    <w:rsid w:val="3A034EA8"/>
    <w:rsid w:val="3FCD28CB"/>
    <w:rsid w:val="42B42141"/>
    <w:rsid w:val="46E02B43"/>
    <w:rsid w:val="46F52BC5"/>
    <w:rsid w:val="48C06AA9"/>
    <w:rsid w:val="491D1E84"/>
    <w:rsid w:val="4B653631"/>
    <w:rsid w:val="4E4B5067"/>
    <w:rsid w:val="4E6F4B7C"/>
    <w:rsid w:val="4E8314AE"/>
    <w:rsid w:val="4F7F76BE"/>
    <w:rsid w:val="502344EE"/>
    <w:rsid w:val="52A70604"/>
    <w:rsid w:val="548C0FD9"/>
    <w:rsid w:val="54971006"/>
    <w:rsid w:val="55631913"/>
    <w:rsid w:val="55832C1B"/>
    <w:rsid w:val="5797131D"/>
    <w:rsid w:val="5943350B"/>
    <w:rsid w:val="594A0FC2"/>
    <w:rsid w:val="5A13112F"/>
    <w:rsid w:val="5A7B6781"/>
    <w:rsid w:val="5B3663E0"/>
    <w:rsid w:val="5B5C4D58"/>
    <w:rsid w:val="5CB57990"/>
    <w:rsid w:val="5FDC6467"/>
    <w:rsid w:val="6080567B"/>
    <w:rsid w:val="61B52ACC"/>
    <w:rsid w:val="63614454"/>
    <w:rsid w:val="64963FE0"/>
    <w:rsid w:val="6AD247A9"/>
    <w:rsid w:val="6B835EC1"/>
    <w:rsid w:val="6EED57F2"/>
    <w:rsid w:val="7072514B"/>
    <w:rsid w:val="70D94A29"/>
    <w:rsid w:val="74FD05BA"/>
    <w:rsid w:val="78BA5F34"/>
    <w:rsid w:val="7CCB2490"/>
    <w:rsid w:val="7E7E276B"/>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8815</Words>
  <Characters>9126</Characters>
  <Lines>0</Lines>
  <Paragraphs>0</Paragraphs>
  <TotalTime>8</TotalTime>
  <ScaleCrop>false</ScaleCrop>
  <LinksUpToDate>false</LinksUpToDate>
  <CharactersWithSpaces>10048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2025-01-20T03:31:00Z</cp:lastPrinted>
  <dcterms:modified xsi:type="dcterms:W3CDTF">2025-03-25T01:11:26Z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B773076EF3C34E6FA276F214B1C8B426_13</vt:lpwstr>
  </property>
  <property fmtid="{D5CDD505-2E9C-101B-9397-08002B2CF9AE}" pid="4" name="KSOTemplateDocerSaveRecord">
    <vt:lpwstr>eyJoZGlkIjoiNzYzNDZhZmRmZjM0NWUxNmJiOWFiNDI5YTEzYzUxNmEiLCJ1c2VySWQiOiIxNTk0MDAzNDA5In0=</vt:lpwstr>
  </property>
</Properties>
</file>